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tbl>
      <w:tblPr>
        <w:tblW w:w="14425" w:type="dxa"/>
        <w:tblInd w:w="-743" w:type="dxa"/>
        <w:tblLook w:val="01E0"/>
      </w:tblPr>
      <w:tblGrid>
        <w:gridCol w:w="3544"/>
        <w:gridCol w:w="250"/>
        <w:gridCol w:w="6838"/>
        <w:gridCol w:w="74"/>
        <w:gridCol w:w="3719"/>
      </w:tblGrid>
      <w:tr>
        <w:trPr>
          <w:gridAfter w:val="2"/>
          <w:wAfter w:w="3793" w:type="dxa"/>
        </w:trPr>
        <w:tc>
          <w:tcPr>
            <w:cnfStyle w:val="101000000000"/>
            <w:tcW w:w="3544" w:type="dxa"/>
            <w:shd w:val="clear" w:color="auto" w:fill="auto"/>
          </w:tcPr>
          <w:p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УТВЕРЖДАЮ:</w:t>
            </w:r>
          </w:p>
          <w:p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Ректор </w:t>
            </w:r>
          </w:p>
          <w:p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Буддийского Университета</w:t>
            </w:r>
          </w:p>
          <w:p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«Даши Чойнхорлин»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________Д.Г. </w:t>
            </w:r>
            <w:r>
              <w:rPr>
                <w:rFonts w:ascii="Times New Roman" w:hAnsi="Times New Roman"/>
                <w:sz w:val="26"/>
                <w:szCs w:val="26"/>
              </w:rPr>
              <w:t>Дашибалданов</w:t>
            </w:r>
          </w:p>
          <w:p>
            <w:pPr>
              <w:spacing w:after="0" w:line="240" w:lineRule="auto"/>
              <w:ind w:left="175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«___» ____________ 2023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cnfStyle w:val="100100000000"/>
            <w:tcW w:w="7088" w:type="dxa"/>
            <w:gridSpan w:val="2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УТВЕРЖДАЮ:</w:t>
            </w:r>
          </w:p>
          <w:p>
            <w:pPr>
              <w:spacing w:after="0" w:line="240" w:lineRule="auto"/>
              <w:ind w:left="262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Министр спорта</w:t>
            </w:r>
          </w:p>
          <w:p>
            <w:pPr>
              <w:spacing w:after="0" w:line="240" w:lineRule="auto"/>
              <w:ind w:left="262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и молодежной политики   </w:t>
            </w:r>
          </w:p>
          <w:p>
            <w:pPr>
              <w:spacing w:after="0" w:line="240" w:lineRule="auto"/>
              <w:ind w:left="262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еспублики </w:t>
            </w:r>
            <w:r>
              <w:rPr>
                <w:rFonts w:ascii="Times New Roman" w:hAnsi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/>
                <w:sz w:val="26"/>
                <w:szCs w:val="26"/>
              </w:rPr>
              <w:t>урятия</w:t>
            </w:r>
          </w:p>
          <w:p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_______</w:t>
            </w:r>
            <w:r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_И.В. Козырев</w:t>
            </w:r>
          </w:p>
          <w:p>
            <w:pPr>
              <w:spacing w:after="0" w:line="240" w:lineRule="auto"/>
              <w:ind w:left="262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«___» __________ 2023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  <w:tr>
        <w:trPr/>
        <w:tc>
          <w:tcPr>
            <w:cnfStyle w:val="011000000000"/>
            <w:tcW w:w="3794" w:type="dxa"/>
            <w:gridSpan w:val="2"/>
            <w:shd w:val="clear" w:color="auto" w:fill="auto"/>
          </w:tcPr>
          <w:p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СОГЛАСОВАНО: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Президент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Федерации шахмат Бурятии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И.С. </w:t>
            </w:r>
            <w:r>
              <w:rPr>
                <w:rFonts w:ascii="Times New Roman" w:hAnsi="Times New Roman"/>
                <w:sz w:val="26"/>
                <w:szCs w:val="26"/>
              </w:rPr>
              <w:t>Ивахинова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«___» ____________ 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cnfStyle w:val="010010000000"/>
            <w:tcW w:w="6912" w:type="dxa"/>
            <w:gridSpan w:val="2"/>
            <w:shd w:val="clear" w:color="auto" w:fill="auto"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cnfStyle w:val="010100000000"/>
            <w:tcW w:w="3719" w:type="dxa"/>
            <w:shd w:val="clear" w:color="auto" w:fill="auto"/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ПРОЕКТ ПОЛОЖЕНИЯ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</w:rPr>
        <w:t>о проведении международного шахматного турнира</w:t>
      </w:r>
      <w:r>
        <w:rPr>
          <w:rFonts w:ascii="Times New Roman" w:hAnsi="Times New Roman"/>
          <w:b/>
          <w:sz w:val="26"/>
          <w:szCs w:val="26"/>
          <w:lang w:val="en-US"/>
        </w:rPr>
        <w:t xml:space="preserve">,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 xml:space="preserve"> на призы Буддийского университета "Даши Чойнхорлин"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>им. Д.Д.Заяева "Сагаалха"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(номер-код спортивной дисциплины: быстрые шахматы 0880032811Я) </w:t>
      </w: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 Цели и задачи</w:t>
      </w:r>
    </w:p>
    <w:p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пропаганда и популяризация шахмат в России и Республике Бурятия;</w:t>
      </w:r>
    </w:p>
    <w:p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повышение спортивного мастерства и квалификации участников;</w:t>
      </w:r>
    </w:p>
    <w:p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укрепление спортивных международных и межрегиональных связей.</w:t>
      </w:r>
    </w:p>
    <w:p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. Руководство проведением </w:t>
      </w:r>
      <w:r>
        <w:rPr>
          <w:rFonts w:ascii="Times New Roman" w:hAnsi="Times New Roman"/>
          <w:b/>
          <w:sz w:val="26"/>
          <w:szCs w:val="26"/>
        </w:rPr>
        <w:t>фестиваля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Общее руководство </w:t>
      </w:r>
      <w:r>
        <w:rPr>
          <w:rFonts w:ascii="Times New Roman" w:hAnsi="Times New Roman"/>
          <w:sz w:val="26"/>
          <w:szCs w:val="26"/>
        </w:rPr>
        <w:t>осуществляютБуддийский</w:t>
      </w:r>
      <w:r>
        <w:rPr>
          <w:rFonts w:ascii="Times New Roman" w:hAnsi="Times New Roman"/>
          <w:sz w:val="26"/>
          <w:szCs w:val="26"/>
        </w:rPr>
        <w:t xml:space="preserve"> Университет «Даши </w:t>
      </w:r>
      <w:r>
        <w:rPr>
          <w:rFonts w:ascii="Times New Roman" w:hAnsi="Times New Roman"/>
          <w:sz w:val="26"/>
          <w:szCs w:val="26"/>
        </w:rPr>
        <w:t>Чойнхорлин</w:t>
      </w:r>
      <w:r>
        <w:rPr>
          <w:rFonts w:ascii="Times New Roman" w:hAnsi="Times New Roman"/>
          <w:sz w:val="26"/>
          <w:szCs w:val="26"/>
        </w:rPr>
        <w:t xml:space="preserve">», Министерство спорта и молодежной политики Республики Бурятия и Федерация шахмат Бурятии.    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Непосредственное руководство подготовкой и проведением соревнования осуществляет оргкомитет и судейская коллегия.                                                   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Главный судья соревнований – </w:t>
      </w:r>
      <w:r>
        <w:rPr>
          <w:rFonts w:ascii="Times New Roman" w:hAnsi="Times New Roman"/>
          <w:b/>
          <w:sz w:val="26"/>
          <w:szCs w:val="26"/>
        </w:rPr>
        <w:t>Сысоев Александр Викторович                    (г. Улан-Удэ).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>. Время и место проведения турнира. Расписание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Турнир проводится</w:t>
      </w:r>
      <w:r>
        <w:rPr>
          <w:rFonts w:ascii="Times New Roman" w:hAnsi="Times New Roman"/>
          <w:sz w:val="26"/>
          <w:szCs w:val="26"/>
        </w:rPr>
        <w:t xml:space="preserve"> в сроки с </w:t>
      </w:r>
      <w:r>
        <w:rPr>
          <w:rFonts w:ascii="Times New Roman" w:hAnsi="Times New Roman"/>
          <w:sz w:val="26"/>
          <w:szCs w:val="26"/>
        </w:rPr>
        <w:t>23</w:t>
      </w:r>
      <w:r>
        <w:rPr>
          <w:rFonts w:ascii="Times New Roman" w:hAnsi="Times New Roman"/>
          <w:sz w:val="26"/>
          <w:szCs w:val="26"/>
        </w:rPr>
        <w:t xml:space="preserve"> марта (день приезда) по 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марта (день отъезда) в </w:t>
      </w:r>
      <w:r>
        <w:rPr>
          <w:rFonts w:ascii="Times New Roman" w:hAnsi="Times New Roman"/>
          <w:sz w:val="26"/>
          <w:szCs w:val="26"/>
        </w:rPr>
        <w:t>Иволгинском</w:t>
      </w:r>
      <w:r>
        <w:rPr>
          <w:rFonts w:ascii="Times New Roman" w:hAnsi="Times New Roman"/>
          <w:sz w:val="26"/>
          <w:szCs w:val="26"/>
        </w:rPr>
        <w:t xml:space="preserve"> Дацане «</w:t>
      </w:r>
      <w:r>
        <w:rPr>
          <w:rFonts w:ascii="Times New Roman" w:hAnsi="Times New Roman"/>
          <w:sz w:val="26"/>
          <w:szCs w:val="26"/>
        </w:rPr>
        <w:t>ХамбынХурээ</w:t>
      </w:r>
      <w:r>
        <w:rPr>
          <w:rFonts w:ascii="Times New Roman" w:hAnsi="Times New Roman"/>
          <w:sz w:val="26"/>
          <w:szCs w:val="26"/>
        </w:rPr>
        <w:t>». Игровые дни – с 2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марта по 2</w:t>
      </w:r>
      <w:r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марта 202</w:t>
      </w: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г. 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>
      <w:pPr>
        <w:spacing w:after="0" w:line="240" w:lineRule="auto"/>
        <w:ind w:left="16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марта</w:t>
      </w:r>
    </w:p>
    <w:p>
      <w:pPr>
        <w:spacing w:after="0" w:line="240" w:lineRule="auto"/>
        <w:ind w:left="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10.00 – 12.30 – регистрация участников</w:t>
      </w:r>
      <w:r>
        <w:rPr>
          <w:rFonts w:ascii="Times New Roman" w:hAnsi="Times New Roman"/>
          <w:sz w:val="26"/>
          <w:szCs w:val="26"/>
        </w:rPr>
        <w:t>, работа комиссии по допуску.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12.30 – 12.45 –</w:t>
      </w:r>
      <w:r>
        <w:rPr>
          <w:rFonts w:ascii="Times New Roman" w:hAnsi="Times New Roman"/>
          <w:sz w:val="26"/>
          <w:szCs w:val="26"/>
        </w:rPr>
        <w:t xml:space="preserve"> техническое совещание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12.45 – 13.00 –</w:t>
      </w:r>
      <w:r>
        <w:rPr>
          <w:rFonts w:ascii="Times New Roman" w:hAnsi="Times New Roman"/>
          <w:sz w:val="26"/>
          <w:szCs w:val="26"/>
        </w:rPr>
        <w:t xml:space="preserve"> заседание судейской коллегии</w:t>
      </w:r>
    </w:p>
    <w:p>
      <w:pPr>
        <w:spacing w:after="0" w:line="240" w:lineRule="auto"/>
        <w:ind w:left="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13.00 – открытие </w:t>
      </w:r>
      <w:r>
        <w:rPr>
          <w:rFonts w:ascii="Times New Roman" w:hAnsi="Times New Roman"/>
          <w:sz w:val="26"/>
          <w:szCs w:val="26"/>
        </w:rPr>
        <w:t>соревнования</w:t>
      </w:r>
    </w:p>
    <w:p>
      <w:pPr>
        <w:spacing w:after="0" w:line="240" w:lineRule="auto"/>
        <w:ind w:left="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14.15 – Жеребьевка 1 тура</w:t>
      </w:r>
    </w:p>
    <w:p>
      <w:pPr>
        <w:spacing w:after="0" w:line="240" w:lineRule="auto"/>
        <w:ind w:left="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14.30 – 1</w:t>
      </w:r>
      <w:r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.30 – I -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V туры</w:t>
      </w:r>
    </w:p>
    <w:p>
      <w:pPr>
        <w:spacing w:after="0" w:line="240" w:lineRule="auto"/>
        <w:ind w:left="1620"/>
        <w:jc w:val="both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ind w:left="16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 xml:space="preserve"> марта</w:t>
      </w:r>
    </w:p>
    <w:p>
      <w:pPr>
        <w:spacing w:after="0" w:line="240" w:lineRule="auto"/>
        <w:ind w:left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11.00 – 18.00 часов – V-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X туры.</w:t>
      </w:r>
    </w:p>
    <w:p>
      <w:pPr>
        <w:spacing w:after="0" w:line="240" w:lineRule="auto"/>
        <w:ind w:left="1620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ind w:left="16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6</w:t>
      </w:r>
      <w:r>
        <w:rPr>
          <w:rFonts w:ascii="Times New Roman" w:hAnsi="Times New Roman"/>
          <w:b/>
          <w:sz w:val="26"/>
          <w:szCs w:val="26"/>
        </w:rPr>
        <w:t xml:space="preserve"> марта </w:t>
      </w:r>
    </w:p>
    <w:p>
      <w:pPr>
        <w:spacing w:after="0" w:line="240" w:lineRule="auto"/>
        <w:ind w:left="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11.00 – 1</w:t>
      </w:r>
      <w:r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 часов – X - XIII туры.</w:t>
      </w:r>
    </w:p>
    <w:p>
      <w:pPr>
        <w:spacing w:after="0" w:line="240" w:lineRule="auto"/>
        <w:ind w:left="90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 – закрытие фестиваля.</w:t>
      </w:r>
    </w:p>
    <w:p>
      <w:pPr>
        <w:spacing w:after="0" w:line="240" w:lineRule="auto"/>
        <w:ind w:left="900"/>
        <w:rPr>
          <w:rFonts w:ascii="Times New Roman" w:hAnsi="Times New Roman"/>
          <w:sz w:val="26"/>
          <w:szCs w:val="26"/>
        </w:rPr>
      </w:pPr>
    </w:p>
    <w:p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.Массовые шахматные мероприятия фестиваля</w:t>
      </w:r>
    </w:p>
    <w:p>
      <w:pPr>
        <w:spacing w:after="0" w:line="240" w:lineRule="auto"/>
        <w:ind w:left="16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23 марта</w:t>
      </w:r>
    </w:p>
    <w:p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11.00 – лекции, сеансы одновременной игры с представителями бизнеса и руководства органов власти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учащихся детско-юношеских спортивных школ, Домов творч</w:t>
      </w:r>
      <w:r>
        <w:rPr>
          <w:rFonts w:ascii="Times New Roman" w:hAnsi="Times New Roman"/>
          <w:sz w:val="26"/>
          <w:szCs w:val="26"/>
        </w:rPr>
        <w:t xml:space="preserve">ества, общеобразовательных школ </w:t>
      </w:r>
      <w:r>
        <w:rPr>
          <w:rFonts w:ascii="Times New Roman" w:hAnsi="Times New Roman"/>
          <w:sz w:val="26"/>
          <w:szCs w:val="26"/>
        </w:rPr>
        <w:t>г. Улан-Удэ.</w:t>
      </w:r>
    </w:p>
    <w:p>
      <w:pPr>
        <w:spacing w:after="0" w:line="240" w:lineRule="auto"/>
        <w:ind w:left="16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26</w:t>
      </w:r>
      <w:r>
        <w:rPr>
          <w:rFonts w:ascii="Times New Roman" w:hAnsi="Times New Roman"/>
          <w:b/>
          <w:sz w:val="26"/>
          <w:szCs w:val="26"/>
        </w:rPr>
        <w:t xml:space="preserve"> марта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16.00 – лекции и сеансы одновременной игры для любителей шахмат, шахматные конкурсы и викторины. </w:t>
      </w: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 xml:space="preserve">. Система проведения </w:t>
      </w:r>
      <w:r>
        <w:rPr>
          <w:rFonts w:ascii="Times New Roman" w:hAnsi="Times New Roman"/>
          <w:b/>
          <w:sz w:val="26"/>
          <w:szCs w:val="26"/>
        </w:rPr>
        <w:t>турнира</w:t>
      </w:r>
    </w:p>
    <w:p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Соревнование</w:t>
      </w:r>
      <w:r>
        <w:rPr>
          <w:rFonts w:ascii="Times New Roman" w:hAnsi="Times New Roman"/>
          <w:sz w:val="26"/>
          <w:szCs w:val="26"/>
        </w:rPr>
        <w:t xml:space="preserve"> проводится по швейцарской системе в 13 туров. Контроль времени: </w:t>
      </w: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мин. до конца партии + </w:t>
      </w:r>
      <w:r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сек. на ход, начиная с первого, каждому участнику, на электронных часах.</w:t>
      </w:r>
      <w:r>
        <w:rPr>
          <w:rFonts w:ascii="Times New Roman" w:hAnsi="Times New Roman"/>
          <w:sz w:val="26"/>
          <w:szCs w:val="26"/>
        </w:rPr>
        <w:t xml:space="preserve"> Жеребьевочная про</w:t>
      </w:r>
      <w:r>
        <w:rPr>
          <w:rFonts w:ascii="Times New Roman" w:hAnsi="Times New Roman"/>
          <w:sz w:val="26"/>
          <w:szCs w:val="26"/>
        </w:rPr>
        <w:t xml:space="preserve">грамма </w:t>
      </w:r>
      <w:r>
        <w:rPr>
          <w:rFonts w:ascii="Times New Roman" w:hAnsi="Times New Roman"/>
          <w:sz w:val="26"/>
          <w:szCs w:val="26"/>
        </w:rPr>
        <w:t>Swiss-Ma</w:t>
      </w:r>
      <w:r>
        <w:rPr>
          <w:rFonts w:ascii="Times New Roman" w:hAnsi="Times New Roman"/>
          <w:sz w:val="26"/>
          <w:szCs w:val="26"/>
          <w:lang w:val="en-US"/>
        </w:rPr>
        <w:t>nager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Соревнование проводится по правилам вида спорта «шахматы», утвержденным приказом </w:t>
      </w:r>
      <w:r>
        <w:rPr>
          <w:rFonts w:ascii="Times New Roman" w:hAnsi="Times New Roman"/>
          <w:sz w:val="26"/>
          <w:szCs w:val="26"/>
        </w:rPr>
        <w:t xml:space="preserve">Минспорта России от 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9 декабря 20</w:t>
      </w:r>
      <w:r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 xml:space="preserve"> года № </w:t>
      </w:r>
      <w:r>
        <w:rPr>
          <w:rFonts w:ascii="Times New Roman" w:hAnsi="Times New Roman"/>
          <w:sz w:val="26"/>
          <w:szCs w:val="26"/>
        </w:rPr>
        <w:t>988</w:t>
      </w:r>
      <w:r>
        <w:rPr>
          <w:rFonts w:ascii="Times New Roman" w:hAnsi="Times New Roman"/>
          <w:sz w:val="26"/>
          <w:szCs w:val="26"/>
        </w:rPr>
        <w:t>и не противоречащим Правилам игры в шахматы ФИДЕ.</w:t>
      </w:r>
      <w:r>
        <w:rPr>
          <w:rFonts w:ascii="Times New Roman" w:hAnsi="Times New Roman"/>
          <w:sz w:val="26"/>
          <w:szCs w:val="26"/>
        </w:rPr>
        <w:t xml:space="preserve">Допустимое время опоздания на тур – </w:t>
      </w:r>
      <w:r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минут. </w:t>
      </w:r>
    </w:p>
    <w:p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Запрещается оказывать противоправное влияние на результаты спортивного соревнования. Запрещается участвовать в азартных играх в букмекерских конторах и тотализаторах путем заключения пари на соревнование,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Российской Федерации».</w:t>
      </w:r>
    </w:p>
    <w:p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читинг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- контроля осуществляется с соблюдением требований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Античитерских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правил, утвержденных ФИДЕ, при стандартном уровне защиты. </w:t>
      </w:r>
    </w:p>
    <w:p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         На техническом совещании избирается апелляционный комитет (АК) состоящий из трех основных и двух запасных членов. При несогласии с решением главного арбитра заявление в АК подается участником</w:t>
      </w:r>
      <w:r>
        <w:rPr>
          <w:rFonts w:ascii="Times New Roman" w:hAnsi="Times New Roman"/>
          <w:sz w:val="26"/>
          <w:szCs w:val="26"/>
        </w:rPr>
        <w:t xml:space="preserve"> в письменном виде не позднее 5</w:t>
      </w:r>
      <w:r>
        <w:rPr>
          <w:rFonts w:ascii="Times New Roman" w:hAnsi="Times New Roman"/>
          <w:sz w:val="26"/>
          <w:szCs w:val="26"/>
        </w:rPr>
        <w:t xml:space="preserve"> минут после окончания ту</w:t>
      </w:r>
      <w:r>
        <w:rPr>
          <w:rFonts w:ascii="Times New Roman" w:hAnsi="Times New Roman"/>
          <w:sz w:val="26"/>
          <w:szCs w:val="26"/>
        </w:rPr>
        <w:t xml:space="preserve">ра с внесением залоговой суммы 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000 (две тысячи</w:t>
      </w:r>
      <w:r>
        <w:rPr>
          <w:rFonts w:ascii="Times New Roman" w:hAnsi="Times New Roman"/>
          <w:sz w:val="26"/>
          <w:szCs w:val="26"/>
        </w:rPr>
        <w:t>) рублей. При решении АК в пользу заявителя взнос возвращается. При неудовлетворенном протесте взнос поступает в Федерацию шахмат Бурятии на покрытие расходов по проведению соревнования. Протесты по компьютерной жеребьевке не принимаются. Решение АК является окончательным.</w:t>
      </w:r>
    </w:p>
    <w:p>
      <w:pPr>
        <w:pStyle w:val="Default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 Состав участников и условия допуска</w:t>
      </w:r>
    </w:p>
    <w:p>
      <w:pPr>
        <w:pStyle w:val="Defaul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 участию в соревнованиях допускаются все желающие квалифицированные шахматисты</w:t>
      </w:r>
      <w:r>
        <w:rPr>
          <w:sz w:val="26"/>
          <w:szCs w:val="26"/>
        </w:rPr>
        <w:t>, подавшие заявку в отведенное для регистрации время</w:t>
      </w:r>
      <w:r>
        <w:rPr>
          <w:sz w:val="26"/>
          <w:szCs w:val="26"/>
        </w:rPr>
        <w:t xml:space="preserve">. Поведение участников в период проведения соревнований регламентируется в соответствии с Положением «О спортивных санкциях в виде спорта «шахматы». </w:t>
      </w:r>
    </w:p>
    <w:p>
      <w:pPr>
        <w:pStyle w:val="Default"/>
        <w:ind w:firstLine="720"/>
        <w:jc w:val="both"/>
        <w:rPr>
          <w:sz w:val="26"/>
          <w:szCs w:val="26"/>
        </w:rPr>
      </w:pPr>
    </w:p>
    <w:p>
      <w:pPr>
        <w:pStyle w:val="Defaul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. Размещение участников </w:t>
      </w:r>
    </w:p>
    <w:p>
      <w:pPr>
        <w:pStyle w:val="Defaul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Российские </w:t>
      </w:r>
      <w:r>
        <w:rPr>
          <w:sz w:val="26"/>
          <w:szCs w:val="26"/>
        </w:rPr>
        <w:t xml:space="preserve">и иностранные </w:t>
      </w:r>
      <w:r>
        <w:rPr>
          <w:sz w:val="26"/>
          <w:szCs w:val="26"/>
        </w:rPr>
        <w:t>участники</w:t>
      </w:r>
      <w:r>
        <w:rPr>
          <w:b/>
          <w:sz w:val="26"/>
          <w:szCs w:val="26"/>
        </w:rPr>
        <w:t xml:space="preserve"> - </w:t>
      </w:r>
      <w:r>
        <w:rPr>
          <w:color w:val="auto"/>
          <w:sz w:val="26"/>
          <w:szCs w:val="26"/>
        </w:rPr>
        <w:t>м</w:t>
      </w:r>
      <w:r>
        <w:rPr>
          <w:sz w:val="26"/>
          <w:szCs w:val="26"/>
        </w:rPr>
        <w:t>еждународные гроссмейстеры (мужские и женские) принимаются (по с</w:t>
      </w:r>
      <w:r>
        <w:rPr>
          <w:sz w:val="26"/>
          <w:szCs w:val="26"/>
        </w:rPr>
        <w:t xml:space="preserve">огласованию с Оргкомитетом до </w:t>
      </w:r>
      <w:r>
        <w:rPr>
          <w:sz w:val="26"/>
          <w:szCs w:val="26"/>
        </w:rPr>
        <w:t>10</w:t>
      </w:r>
      <w:r>
        <w:rPr>
          <w:sz w:val="26"/>
          <w:szCs w:val="26"/>
        </w:rPr>
        <w:t>.03.202</w:t>
      </w: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) за счет Буддийского университета «Даши </w:t>
      </w:r>
      <w:r>
        <w:rPr>
          <w:sz w:val="26"/>
          <w:szCs w:val="26"/>
        </w:rPr>
        <w:t>Чойнхорлин</w:t>
      </w:r>
      <w:r>
        <w:rPr>
          <w:sz w:val="26"/>
          <w:szCs w:val="26"/>
        </w:rPr>
        <w:t xml:space="preserve">». </w:t>
      </w:r>
      <w:r>
        <w:rPr>
          <w:sz w:val="26"/>
          <w:szCs w:val="26"/>
        </w:rPr>
        <w:t>Информация о вариантах проживания</w:t>
      </w:r>
      <w:r>
        <w:rPr>
          <w:sz w:val="26"/>
          <w:szCs w:val="26"/>
        </w:rPr>
        <w:t xml:space="preserve"> остальных</w:t>
      </w:r>
      <w:r>
        <w:rPr>
          <w:sz w:val="26"/>
          <w:szCs w:val="26"/>
        </w:rPr>
        <w:t xml:space="preserve"> участников будет размещена на странице турнира на сайте </w:t>
      </w:r>
      <w:r>
        <w:fldChar w:fldCharType="begin"/>
      </w:r>
      <w:r>
        <w:instrText xml:space="preserve">HYPERLINK "http://www.chessrb.ru" </w:instrText>
      </w:r>
      <w:r>
        <w:fldChar w:fldCharType="separate"/>
      </w:r>
      <w:r>
        <w:rPr>
          <w:rStyle w:val="Hyperlink"/>
          <w:sz w:val="26"/>
          <w:szCs w:val="26"/>
          <w:lang w:val="en-US"/>
        </w:rPr>
        <w:t>www</w:t>
      </w:r>
      <w:r>
        <w:rPr>
          <w:rStyle w:val="Hyperlink"/>
          <w:sz w:val="26"/>
          <w:szCs w:val="26"/>
        </w:rPr>
        <w:t>.</w:t>
      </w:r>
      <w:r>
        <w:rPr>
          <w:rStyle w:val="Hyperlink"/>
          <w:sz w:val="26"/>
          <w:szCs w:val="26"/>
          <w:lang w:val="en-US"/>
        </w:rPr>
        <w:t>chessrb</w:t>
      </w:r>
      <w:r>
        <w:rPr>
          <w:rStyle w:val="Hyperlink"/>
          <w:sz w:val="26"/>
          <w:szCs w:val="26"/>
        </w:rPr>
        <w:t>.</w:t>
      </w:r>
      <w:r>
        <w:rPr>
          <w:rStyle w:val="Hyperlink"/>
          <w:sz w:val="26"/>
          <w:szCs w:val="26"/>
          <w:lang w:val="en-US"/>
        </w:rPr>
        <w:t>ru</w:t>
      </w:r>
      <w:r>
        <w:fldChar w:fldCharType="end"/>
      </w: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>
        <w:rPr>
          <w:rFonts w:ascii="Times New Roman" w:hAnsi="Times New Roman"/>
          <w:b/>
          <w:sz w:val="26"/>
          <w:szCs w:val="26"/>
        </w:rPr>
        <w:t>. Определение занятых мест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Победители и призеры определяются по наибольшему количеству набранных очков. При равенстве очков места распределяются (в порядке убывания значимости):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 </w:t>
      </w:r>
      <w:r>
        <w:rPr>
          <w:rFonts w:ascii="Times New Roman" w:hAnsi="Times New Roman"/>
          <w:sz w:val="26"/>
          <w:szCs w:val="26"/>
        </w:rPr>
        <w:t>усеченному коэффициенту Бухгольца (без одного худшего результата)</w:t>
      </w:r>
      <w:r>
        <w:rPr>
          <w:rFonts w:ascii="Times New Roman" w:hAnsi="Times New Roman"/>
          <w:sz w:val="26"/>
          <w:szCs w:val="26"/>
        </w:rPr>
        <w:t>;</w:t>
      </w:r>
    </w:p>
    <w:p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по </w:t>
      </w:r>
      <w:r>
        <w:rPr>
          <w:rFonts w:ascii="Times New Roman" w:hAnsi="Times New Roman"/>
          <w:sz w:val="26"/>
          <w:szCs w:val="26"/>
        </w:rPr>
        <w:t>усеченному коэффициенту Бухгольца (без двух худших результатов)</w:t>
      </w:r>
      <w:r>
        <w:rPr>
          <w:rFonts w:ascii="Times New Roman" w:hAnsi="Times New Roman"/>
          <w:sz w:val="26"/>
          <w:szCs w:val="26"/>
        </w:rPr>
        <w:t>;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>- по результату личной встречи;</w:t>
      </w:r>
    </w:p>
    <w:p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 количеству побед.</w:t>
      </w:r>
    </w:p>
    <w:p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>
        <w:rPr>
          <w:rFonts w:ascii="Times New Roman" w:hAnsi="Times New Roman"/>
          <w:b/>
          <w:sz w:val="26"/>
          <w:szCs w:val="26"/>
        </w:rPr>
        <w:t>. Безопасность участников и зрителей.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Безопасность в ходе соревнования обеспечивается в соответствии с требованиями </w:t>
      </w:r>
      <w:r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оложения о межрегиональныхи всероссийских официальных спортивных соревнованиях</w:t>
      </w:r>
      <w:r>
        <w:rPr>
          <w:rFonts w:ascii="Times New Roman" w:hAnsi="Times New Roman"/>
          <w:sz w:val="26"/>
          <w:szCs w:val="26"/>
        </w:rPr>
        <w:t>по шахматам в 202</w:t>
      </w: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году</w:t>
      </w:r>
      <w:r>
        <w:rPr>
          <w:rFonts w:ascii="Times New Roman" w:hAnsi="Times New Roman"/>
          <w:sz w:val="26"/>
          <w:szCs w:val="26"/>
        </w:rPr>
        <w:t xml:space="preserve"> и законодательства РФ.</w:t>
      </w:r>
      <w:r>
        <w:rPr>
          <w:rFonts w:ascii="Times New Roman" w:hAnsi="Times New Roman"/>
          <w:sz w:val="26"/>
          <w:szCs w:val="26"/>
        </w:rPr>
        <w:t>Ответственный за</w:t>
      </w:r>
      <w:r>
        <w:rPr>
          <w:rFonts w:ascii="Times New Roman" w:hAnsi="Times New Roman"/>
          <w:sz w:val="26"/>
          <w:szCs w:val="26"/>
        </w:rPr>
        <w:t xml:space="preserve"> безопасность на турнире – </w:t>
      </w:r>
      <w:r>
        <w:rPr>
          <w:rFonts w:ascii="Times New Roman" w:hAnsi="Times New Roman"/>
          <w:sz w:val="26"/>
          <w:szCs w:val="26"/>
        </w:rPr>
        <w:t>Дымбрыл-Лама</w:t>
      </w:r>
      <w:r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Дашибалданов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Дымбрыл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Гуробазарович</w:t>
      </w:r>
      <w:r>
        <w:rPr>
          <w:rFonts w:ascii="Times New Roman" w:hAnsi="Times New Roman"/>
          <w:sz w:val="26"/>
          <w:szCs w:val="26"/>
        </w:rPr>
        <w:t>).</w:t>
      </w: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</w:t>
      </w:r>
      <w:r>
        <w:rPr>
          <w:rFonts w:ascii="Times New Roman" w:hAnsi="Times New Roman"/>
          <w:b/>
          <w:sz w:val="26"/>
          <w:szCs w:val="26"/>
        </w:rPr>
        <w:t xml:space="preserve">. Награждение, призовой фонд и финансирование </w:t>
      </w:r>
      <w:r>
        <w:rPr>
          <w:rFonts w:ascii="Times New Roman" w:hAnsi="Times New Roman"/>
          <w:b/>
          <w:sz w:val="26"/>
          <w:szCs w:val="26"/>
        </w:rPr>
        <w:t>турнира</w:t>
      </w:r>
    </w:p>
    <w:p>
      <w:pPr>
        <w:spacing w:after="0" w:line="240" w:lineRule="auto"/>
        <w:ind w:firstLine="1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Победители и призеры турнира награждаются дипломами и денежными призами. </w:t>
      </w:r>
      <w:r>
        <w:rPr>
          <w:rFonts w:ascii="Times New Roman" w:hAnsi="Times New Roman"/>
          <w:b/>
          <w:sz w:val="26"/>
          <w:szCs w:val="26"/>
        </w:rPr>
        <w:t xml:space="preserve">Гарантированный призовой фонд турнира – </w:t>
      </w:r>
      <w:r>
        <w:rPr>
          <w:rFonts w:ascii="Times New Roman" w:hAnsi="Times New Roman"/>
          <w:b/>
          <w:sz w:val="26"/>
          <w:szCs w:val="26"/>
        </w:rPr>
        <w:t>66</w:t>
      </w:r>
      <w:r>
        <w:rPr>
          <w:rFonts w:ascii="Times New Roman" w:hAnsi="Times New Roman"/>
          <w:b/>
          <w:sz w:val="26"/>
          <w:szCs w:val="26"/>
        </w:rPr>
        <w:t>7</w:t>
      </w:r>
      <w:r>
        <w:rPr>
          <w:rFonts w:ascii="Times New Roman" w:hAnsi="Times New Roman"/>
          <w:b/>
          <w:sz w:val="26"/>
          <w:szCs w:val="26"/>
        </w:rPr>
        <w:t> 000 руб.</w:t>
      </w:r>
    </w:p>
    <w:p>
      <w:pPr>
        <w:pStyle w:val="Defaul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Расходы по командированию участников (проезд, питание, размещение, страхование) несут командирующие организации, либо сами участники.</w:t>
      </w:r>
    </w:p>
    <w:p>
      <w:pPr>
        <w:pStyle w:val="Defaul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Прием и оплата работы судейской коллегии – за счет Буддийского университета «Даши Чойнхорлин».</w:t>
      </w:r>
    </w:p>
    <w:p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Ре</w:t>
      </w:r>
      <w:r>
        <w:rPr>
          <w:sz w:val="26"/>
          <w:szCs w:val="26"/>
        </w:rPr>
        <w:t xml:space="preserve">кламно-информационная поддержка </w:t>
      </w:r>
      <w:r>
        <w:rPr>
          <w:sz w:val="26"/>
          <w:szCs w:val="26"/>
        </w:rPr>
        <w:t>турнира</w:t>
      </w:r>
      <w:r>
        <w:rPr>
          <w:sz w:val="26"/>
          <w:szCs w:val="26"/>
        </w:rPr>
        <w:t xml:space="preserve"> – за </w:t>
      </w:r>
      <w:r>
        <w:rPr>
          <w:sz w:val="26"/>
          <w:szCs w:val="26"/>
        </w:rPr>
        <w:t xml:space="preserve">счет </w:t>
      </w:r>
      <w:r>
        <w:rPr>
          <w:sz w:val="26"/>
          <w:szCs w:val="26"/>
        </w:rPr>
        <w:t>Буддийского университета «Даши Чойнхорлин».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Распределение призового фонда </w:t>
      </w:r>
      <w:r>
        <w:rPr>
          <w:rFonts w:ascii="Times New Roman" w:hAnsi="Times New Roman"/>
          <w:sz w:val="26"/>
          <w:szCs w:val="26"/>
        </w:rPr>
        <w:t>(в рублях)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1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/>
      </w:tblPr>
      <w:tblGrid>
        <w:gridCol w:w="1275"/>
        <w:gridCol w:w="1418"/>
        <w:gridCol w:w="1517"/>
        <w:gridCol w:w="1560"/>
        <w:gridCol w:w="1559"/>
      </w:tblGrid>
      <w:tr>
        <w:trPr/>
        <w:tc>
          <w:tcPr>
            <w:cnfStyle w:val="101000000000"/>
            <w:tcW w:w="26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Основные призы</w:t>
            </w:r>
          </w:p>
        </w:tc>
        <w:tc>
          <w:tcPr>
            <w:cnfStyle w:val="1000000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Женщины </w:t>
            </w:r>
          </w:p>
        </w:tc>
        <w:tc>
          <w:tcPr>
            <w:cnfStyle w:val="1000000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Юноши до1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лет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(200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г.р. и моложе)</w:t>
            </w:r>
          </w:p>
        </w:tc>
        <w:tc>
          <w:tcPr>
            <w:cnfStyle w:val="1000000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Девушки до 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лет (200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г.р. и моложе)</w:t>
            </w:r>
          </w:p>
        </w:tc>
      </w:tr>
      <w:tr>
        <w:trPr/>
        <w:tc>
          <w:tcPr>
            <w:cnfStyle w:val="001000100000"/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Hlk345760056"/>
            <w:r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75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60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5 000</w:t>
            </w: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45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9 000</w:t>
            </w: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3 000</w:t>
            </w: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3 000</w:t>
            </w: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35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7 000</w:t>
            </w: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2 000</w:t>
            </w: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2 000</w:t>
            </w: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30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25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17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14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12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11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10 </w:t>
            </w:r>
            <w:r>
              <w:rPr>
                <w:rFonts w:ascii="Times New Roman" w:hAnsi="Times New Roman"/>
                <w:sz w:val="26"/>
                <w:szCs w:val="26"/>
              </w:rPr>
              <w:t>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9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3 000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3 000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3 000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3 000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3 000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2 000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2 000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2 000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 место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2 000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01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 место</w:t>
            </w:r>
          </w:p>
        </w:tc>
        <w:tc>
          <w:tcPr>
            <w:cnfStyle w:val="00000001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2 000</w:t>
            </w:r>
          </w:p>
        </w:tc>
        <w:tc>
          <w:tcPr>
            <w:cnfStyle w:val="00000001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cnfStyle w:val="00000001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>
        <w:trPr/>
        <w:tc>
          <w:tcPr>
            <w:cnfStyle w:val="001000100000"/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bookmarkEnd w:id="0"/>
            <w:r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cnfStyle w:val="000000100000"/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505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76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000</w:t>
            </w:r>
          </w:p>
        </w:tc>
        <w:tc>
          <w:tcPr>
            <w:cnfStyle w:val="000000100000"/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28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000</w:t>
            </w:r>
          </w:p>
        </w:tc>
        <w:tc>
          <w:tcPr>
            <w:cnfStyle w:val="000000100000"/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28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000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>
      <w:pPr>
        <w:spacing w:after="0" w:line="240" w:lineRule="auto"/>
        <w:ind w:firstLine="16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Специальные призы</w:t>
      </w:r>
    </w:p>
    <w:p>
      <w:pPr>
        <w:spacing w:after="0" w:line="240" w:lineRule="auto"/>
        <w:ind w:firstLine="21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Ветераны: 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Мужчины: Старше 60 лет </w:t>
      </w:r>
      <w:r>
        <w:rPr>
          <w:rFonts w:ascii="Times New Roman" w:hAnsi="Times New Roman"/>
          <w:sz w:val="26"/>
          <w:szCs w:val="26"/>
        </w:rPr>
        <w:t>– 2500</w:t>
      </w:r>
      <w:r>
        <w:rPr>
          <w:rFonts w:ascii="Times New Roman" w:hAnsi="Times New Roman"/>
          <w:sz w:val="26"/>
          <w:szCs w:val="26"/>
        </w:rPr>
        <w:t>/1500/10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рублей.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Старше 70 лет – </w:t>
      </w:r>
      <w:r>
        <w:rPr>
          <w:rFonts w:ascii="Times New Roman" w:hAnsi="Times New Roman"/>
          <w:sz w:val="26"/>
          <w:szCs w:val="26"/>
        </w:rPr>
        <w:t>2500</w:t>
      </w:r>
      <w:r>
        <w:rPr>
          <w:rFonts w:ascii="Times New Roman" w:hAnsi="Times New Roman"/>
          <w:sz w:val="26"/>
          <w:szCs w:val="26"/>
        </w:rPr>
        <w:t>/1500/10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рублей.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Старше 80 лет – </w:t>
      </w:r>
      <w:r>
        <w:rPr>
          <w:rFonts w:ascii="Times New Roman" w:hAnsi="Times New Roman"/>
          <w:sz w:val="26"/>
          <w:szCs w:val="26"/>
        </w:rPr>
        <w:t>2500</w:t>
      </w:r>
      <w:r>
        <w:rPr>
          <w:rFonts w:ascii="Times New Roman" w:hAnsi="Times New Roman"/>
          <w:sz w:val="26"/>
          <w:szCs w:val="26"/>
        </w:rPr>
        <w:t>/1500/10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рублей.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Женщины: Старше 55 лет – </w:t>
      </w:r>
      <w:r>
        <w:rPr>
          <w:rFonts w:ascii="Times New Roman" w:hAnsi="Times New Roman"/>
          <w:sz w:val="26"/>
          <w:szCs w:val="26"/>
        </w:rPr>
        <w:t>2500</w:t>
      </w:r>
      <w:r>
        <w:rPr>
          <w:rFonts w:ascii="Times New Roman" w:hAnsi="Times New Roman"/>
          <w:sz w:val="26"/>
          <w:szCs w:val="26"/>
        </w:rPr>
        <w:t>/1500/10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рублей.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Шахматисты сельских поселений Республики Бурятия (прописка и фактическое проживание) – </w:t>
      </w:r>
      <w:r>
        <w:rPr>
          <w:rFonts w:ascii="Times New Roman" w:hAnsi="Times New Roman"/>
          <w:sz w:val="26"/>
          <w:szCs w:val="26"/>
        </w:rPr>
        <w:t>2500</w:t>
      </w:r>
      <w:r>
        <w:rPr>
          <w:rFonts w:ascii="Times New Roman" w:hAnsi="Times New Roman"/>
          <w:sz w:val="26"/>
          <w:szCs w:val="26"/>
        </w:rPr>
        <w:t>/1500/10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рублей</w:t>
      </w:r>
    </w:p>
    <w:p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Самый красивый бурятский национальный костюм - 5000 рублей</w:t>
      </w:r>
    </w:p>
    <w:p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Участник соревнования может получить более одного приза.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Призы выдаются наличными на церемонии закрытия фестиваля.</w:t>
      </w:r>
      <w:r>
        <w:rPr>
          <w:rFonts w:ascii="Times New Roman" w:hAnsi="Times New Roman"/>
          <w:sz w:val="26"/>
          <w:szCs w:val="26"/>
        </w:rPr>
        <w:t xml:space="preserve"> В случае отсутствия участника на церемонии призы в дальнейшем не выдаются и не высылаются.</w:t>
      </w:r>
      <w:r>
        <w:rPr>
          <w:rFonts w:ascii="Times New Roman" w:hAnsi="Times New Roman"/>
          <w:sz w:val="26"/>
          <w:szCs w:val="26"/>
        </w:rPr>
        <w:t>Призы подлежат налогообложению в соответствии с законодательством РФ.</w:t>
      </w:r>
    </w:p>
    <w:p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Все участники при награждении должны иметь копии паспорта, ИНН,  пенсионного свидетельства.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. Контакты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Иволгинский дацан – тел. </w:t>
      </w:r>
      <w:r>
        <w:rPr>
          <w:rFonts w:ascii="Times New Roman" w:hAnsi="Times New Roman"/>
          <w:sz w:val="26"/>
          <w:szCs w:val="26"/>
        </w:rPr>
        <w:t xml:space="preserve">8-8001003108; </w:t>
      </w:r>
      <w:r>
        <w:fldChar w:fldCharType="begin"/>
      </w:r>
      <w:r>
        <w:instrText xml:space="preserve">HYPERLINK "mailto:e-mail:%20datsan@yandex.ru" </w:instrText>
      </w:r>
      <w:r>
        <w:fldChar w:fldCharType="separate"/>
      </w:r>
      <w:r>
        <w:rPr>
          <w:rStyle w:val="Hyperlink"/>
          <w:rFonts w:ascii="Times New Roman" w:hAnsi="Times New Roman"/>
          <w:sz w:val="26"/>
          <w:szCs w:val="26"/>
          <w:lang w:val="en-US"/>
        </w:rPr>
        <w:t>e</w:t>
      </w:r>
      <w:r>
        <w:rPr>
          <w:rStyle w:val="Hyperlink"/>
          <w:rFonts w:ascii="Times New Roman" w:hAnsi="Times New Roman"/>
          <w:sz w:val="26"/>
          <w:szCs w:val="26"/>
        </w:rPr>
        <w:t>-</w:t>
      </w:r>
      <w:r>
        <w:rPr>
          <w:rStyle w:val="Hyperlink"/>
          <w:rFonts w:ascii="Times New Roman" w:hAnsi="Times New Roman"/>
          <w:sz w:val="26"/>
          <w:szCs w:val="26"/>
          <w:lang w:val="en-US"/>
        </w:rPr>
        <w:t>mail</w:t>
      </w:r>
      <w:r>
        <w:rPr>
          <w:rStyle w:val="Hyperlink"/>
          <w:rFonts w:ascii="Times New Roman" w:hAnsi="Times New Roman"/>
          <w:sz w:val="26"/>
          <w:szCs w:val="26"/>
        </w:rPr>
        <w:t xml:space="preserve">: </w:t>
      </w:r>
      <w:r>
        <w:rPr>
          <w:rStyle w:val="Hyperlink"/>
          <w:rFonts w:ascii="Times New Roman" w:hAnsi="Times New Roman"/>
          <w:sz w:val="26"/>
          <w:szCs w:val="26"/>
          <w:lang w:val="en-US"/>
        </w:rPr>
        <w:t>datsan</w:t>
      </w:r>
      <w:r>
        <w:rPr>
          <w:rStyle w:val="Hyperlink"/>
          <w:rFonts w:ascii="Times New Roman" w:hAnsi="Times New Roman"/>
          <w:sz w:val="26"/>
          <w:szCs w:val="26"/>
        </w:rPr>
        <w:t>@</w:t>
      </w:r>
      <w:r>
        <w:rPr>
          <w:rStyle w:val="Hyperlink"/>
          <w:rFonts w:ascii="Times New Roman" w:hAnsi="Times New Roman"/>
          <w:sz w:val="26"/>
          <w:szCs w:val="26"/>
          <w:lang w:val="en-US"/>
        </w:rPr>
        <w:t>yandex</w:t>
      </w:r>
      <w:r>
        <w:rPr>
          <w:rStyle w:val="Hyperlink"/>
          <w:rFonts w:ascii="Times New Roman" w:hAnsi="Times New Roman"/>
          <w:sz w:val="26"/>
          <w:szCs w:val="26"/>
        </w:rPr>
        <w:t>.</w:t>
      </w:r>
      <w:r>
        <w:rPr>
          <w:rStyle w:val="Hyperlink"/>
          <w:rFonts w:ascii="Times New Roman" w:hAnsi="Times New Roman"/>
          <w:sz w:val="26"/>
          <w:szCs w:val="26"/>
          <w:lang w:val="en-US"/>
        </w:rPr>
        <w:t>ru</w:t>
      </w:r>
      <w:r>
        <w:fldChar w:fldCharType="end"/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Федерация шахма</w:t>
      </w:r>
      <w:r>
        <w:rPr>
          <w:rFonts w:ascii="Times New Roman" w:hAnsi="Times New Roman"/>
          <w:sz w:val="26"/>
          <w:szCs w:val="26"/>
        </w:rPr>
        <w:t xml:space="preserve">т Бурятии –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 xml:space="preserve">: </w:t>
      </w:r>
      <w:r>
        <w:fldChar w:fldCharType="begin"/>
      </w:r>
      <w:r>
        <w:instrText xml:space="preserve">HYPERLINK "mailto:chessrb@yandex.ru" </w:instrText>
      </w:r>
      <w:r>
        <w:fldChar w:fldCharType="separate"/>
      </w:r>
      <w:r>
        <w:rPr>
          <w:rStyle w:val="Hyperlink"/>
          <w:rFonts w:ascii="Times New Roman" w:hAnsi="Times New Roman"/>
          <w:sz w:val="26"/>
          <w:szCs w:val="26"/>
          <w:lang w:val="en-US"/>
        </w:rPr>
        <w:t>chessrb</w:t>
      </w:r>
      <w:r>
        <w:rPr>
          <w:rStyle w:val="Hyperlink"/>
          <w:rFonts w:ascii="Times New Roman" w:hAnsi="Times New Roman"/>
          <w:sz w:val="26"/>
          <w:szCs w:val="26"/>
        </w:rPr>
        <w:t>@</w:t>
      </w:r>
      <w:r>
        <w:rPr>
          <w:rStyle w:val="Hyperlink"/>
          <w:rFonts w:ascii="Times New Roman" w:hAnsi="Times New Roman"/>
          <w:sz w:val="26"/>
          <w:szCs w:val="26"/>
          <w:lang w:val="en-US"/>
        </w:rPr>
        <w:t>yandex</w:t>
      </w:r>
      <w:r>
        <w:rPr>
          <w:rStyle w:val="Hyperlink"/>
          <w:rFonts w:ascii="Times New Roman" w:hAnsi="Times New Roman"/>
          <w:sz w:val="26"/>
          <w:szCs w:val="26"/>
        </w:rPr>
        <w:t>.</w:t>
      </w:r>
      <w:r>
        <w:rPr>
          <w:rStyle w:val="Hyperlink"/>
          <w:rFonts w:ascii="Times New Roman" w:hAnsi="Times New Roman"/>
          <w:sz w:val="26"/>
          <w:szCs w:val="26"/>
          <w:lang w:val="en-US"/>
        </w:rPr>
        <w:t>ru</w:t>
      </w:r>
      <w:r>
        <w:fldChar w:fldCharType="end"/>
      </w:r>
      <w:r>
        <w:rPr>
          <w:rFonts w:ascii="Times New Roman" w:hAnsi="Times New Roman"/>
          <w:sz w:val="26"/>
          <w:szCs w:val="26"/>
        </w:rPr>
        <w:t>, т</w:t>
      </w:r>
      <w:r>
        <w:rPr>
          <w:rFonts w:ascii="Times New Roman" w:hAnsi="Times New Roman"/>
          <w:sz w:val="26"/>
          <w:szCs w:val="26"/>
        </w:rPr>
        <w:t>ел. 8-950-387</w:t>
      </w:r>
      <w:r>
        <w:rPr>
          <w:rFonts w:ascii="Times New Roman" w:hAnsi="Times New Roman"/>
          <w:sz w:val="26"/>
          <w:szCs w:val="26"/>
        </w:rPr>
        <w:t>-62-15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Минтаханов</w:t>
      </w:r>
      <w:r>
        <w:rPr>
          <w:rFonts w:ascii="Times New Roman" w:hAnsi="Times New Roman"/>
          <w:sz w:val="26"/>
          <w:szCs w:val="26"/>
        </w:rPr>
        <w:t xml:space="preserve"> Тарас Игоревич.</w:t>
      </w:r>
    </w:p>
    <w:p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>
      <w:pPr>
        <w:spacing w:line="240" w:lineRule="auto"/>
        <w:ind w:right="99" w:firstLine="708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Все </w:t>
      </w:r>
      <w:r>
        <w:rPr>
          <w:rFonts w:ascii="Times New Roman" w:hAnsi="Times New Roman"/>
          <w:b/>
          <w:sz w:val="26"/>
          <w:szCs w:val="26"/>
        </w:rPr>
        <w:t>уточнения</w:t>
      </w:r>
      <w:r>
        <w:rPr>
          <w:rFonts w:ascii="Times New Roman" w:hAnsi="Times New Roman"/>
          <w:b/>
          <w:sz w:val="26"/>
          <w:szCs w:val="26"/>
        </w:rPr>
        <w:t xml:space="preserve"> и дополнения к настоящему положению регулируются регламентом проведения </w:t>
      </w:r>
      <w:r>
        <w:rPr>
          <w:rFonts w:ascii="Times New Roman" w:hAnsi="Times New Roman"/>
          <w:b/>
          <w:sz w:val="26"/>
          <w:szCs w:val="26"/>
        </w:rPr>
        <w:t>фестиваля</w:t>
      </w:r>
      <w:r>
        <w:rPr>
          <w:rFonts w:ascii="Times New Roman" w:hAnsi="Times New Roman"/>
          <w:sz w:val="26"/>
          <w:szCs w:val="26"/>
        </w:rPr>
        <w:t>.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Данное положение является официальным вызовом на соревнование 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ОРГКОМИТЕТ</w:t>
      </w:r>
    </w:p>
    <w:p/>
    <w:sectPr>
      <w:pgSz w:w="11906" w:h="16838"/>
      <w:pgMar w:top="851" w:right="707" w:bottom="56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36207"/>
    <w:rsid w:val="000C7729"/>
    <w:rsid w:val="00113C23"/>
    <w:rsid w:val="00131676"/>
    <w:rsid w:val="00136207"/>
    <w:rsid w:val="003279B3"/>
    <w:rsid w:val="0039623A"/>
    <w:rsid w:val="004355C2"/>
    <w:rsid w:val="004642EF"/>
    <w:rsid w:val="004D625F"/>
    <w:rsid w:val="005D1759"/>
    <w:rsid w:val="00687750"/>
    <w:rsid w:val="006F789D"/>
    <w:rsid w:val="00823246"/>
    <w:rsid w:val="009045BC"/>
    <w:rsid w:val="009B4D00"/>
    <w:rsid w:val="00AE1185"/>
    <w:rsid w:val="00B00385"/>
    <w:rsid w:val="00B77134"/>
    <w:rsid w:val="00BC37AC"/>
    <w:rsid w:val="00C26B3B"/>
    <w:rsid w:val="00C26D01"/>
    <w:rsid w:val="00C837E6"/>
    <w:rsid w:val="00D35494"/>
    <w:rsid w:val="00E21683"/>
    <w:rsid w:val="00EE7AB0"/>
    <w:rsid w:val="00F92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zh-CN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Calibri" w:cs="Times New Roman" w:eastAsia="Calibri" w:hAnsi="Calibri"/>
      <w:lang w:eastAsia="en-US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Hyperlink">
    <w:name w:val="Hyperlink"/>
    <w:uiPriority w:val="99"/>
    <w:unhideWhenUsed w:val="on"/>
    <w:rPr>
      <w:color w:val="0000ff"/>
      <w:u w:val="single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4" Type="http://schemas.openxmlformats.org/officeDocument/2006/relationships/hyperlink" Target="http://www.chessrb.ru" TargetMode="External"/><Relationship Id="rId5" Type="http://schemas.openxmlformats.org/officeDocument/2006/relationships/hyperlink" Target="mailto:e-mail:%20datsan@yandex.ru" TargetMode="External"/><Relationship Id="rId6" Type="http://schemas.openxmlformats.org/officeDocument/2006/relationships/hyperlink" Target="mailto:chessr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</cp:coreProperties>
</file>